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5"/>
        <w:pBdr/>
        <w:spacing/>
        <w:ind/>
        <w:rPr/>
      </w:pPr>
      <w:r/>
      <w:bookmarkStart w:id="0" w:name="_Toc248743044"/>
      <w:r/>
      <w:bookmarkStart w:id="1" w:name="_Toc248743679"/>
      <w:r/>
      <w:bookmarkStart w:id="2" w:name="_Toc252890805"/>
      <w:r>
        <w:t xml:space="preserve">Příloha č. 5 výzev </w:t>
      </w:r>
      <w:r>
        <w:rPr>
          <w:rStyle w:val="1008"/>
          <w:color w:val="000000"/>
        </w:rPr>
        <w:t xml:space="preserve">OPST č. </w:t>
      </w:r>
      <w:r>
        <w:rPr>
          <w:rStyle w:val="1008"/>
          <w:color w:val="000000"/>
        </w:rPr>
        <w:t xml:space="preserve">79</w:t>
      </w:r>
      <w:r>
        <w:rPr>
          <w:rStyle w:val="1008"/>
          <w:color w:val="000000"/>
        </w:rPr>
        <w:t xml:space="preserve">/80/2025</w:t>
      </w:r>
      <w:r/>
    </w:p>
    <w:p>
      <w:pPr>
        <w:pBdr/>
        <w:spacing w:before="240"/>
        <w:ind/>
        <w:jc w:val="left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prohlášení žadatele k souladu realizace projektu s podmínkami DNSH</w:t>
      </w:r>
      <w:bookmarkEnd w:id="0"/>
      <w:r/>
      <w:bookmarkEnd w:id="1"/>
      <w:r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Obchodní jméno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Sídlo / Adresa žadatele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IČ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</w:tbl>
    <w:p>
      <w:pPr>
        <w:pBdr/>
        <w:spacing/>
        <w:ind/>
        <w:rPr>
          <w:rFonts w:cs="Segoe UI"/>
        </w:rPr>
      </w:pPr>
      <w:r>
        <w:rPr>
          <w:rFonts w:cs="Segoe UI"/>
        </w:rPr>
        <w:t xml:space="preserve"> </w:t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environmentálních cílů („do no </w:t>
      </w:r>
      <w:r>
        <w:rPr>
          <w:rFonts w:cs="Segoe UI"/>
        </w:rPr>
        <w:t xml:space="preserve">significant</w:t>
      </w:r>
      <w:r>
        <w:rPr>
          <w:rFonts w:cs="Segoe UI"/>
        </w:rPr>
        <w:t xml:space="preserve"> </w:t>
      </w:r>
      <w:r>
        <w:rPr>
          <w:rFonts w:cs="Segoe UI"/>
        </w:rPr>
        <w:t xml:space="preserve">harm</w:t>
      </w:r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 xml:space="preserve">č. 17 nařízení Evropského parlamentu a Rady (EU) 2020/852 ze dne 18. června 2020 o zřízení rámce pro usnadnění udržitelných investic a o změně nařízení (EU) 2019/2088.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Žadatel prohlašuje, že projekt je v souladu s relevantními podmínkami kapitoly C.13 </w:t>
      </w:r>
      <w:r>
        <w:rPr>
          <w:rFonts w:eastAsiaTheme="minorEastAsia"/>
        </w:rPr>
        <w:t xml:space="preserve">PrŽaP</w:t>
      </w:r>
      <w:r>
        <w:rPr>
          <w:rFonts w:eastAsiaTheme="minorEastAsia"/>
        </w:rPr>
        <w:t xml:space="preserve"> OPST a že mezi způsobilé výdaje projektu nezařadí: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/>
      </w:pPr>
      <w:r>
        <w:rPr>
          <w:rFonts w:eastAsiaTheme="minorEastAsia"/>
        </w:rPr>
        <w:t xml:space="preserve">investice do výroby, zpracování, přepravy, distribuce, skladování nebo spalování fosilních paliv včetně investic do materiálního využití fosilních paliv;</w:t>
      </w:r>
      <w:r/>
    </w:p>
    <w:p>
      <w:pPr>
        <w:pStyle w:val="1004"/>
        <w:numPr>
          <w:ilvl w:val="0"/>
          <w:numId w:val="3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investice do snižování emisí skleníkových plynů v zařízení ETS;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investice zaměřené na energetické využití odpadů;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náklady na nové spotřebiče, které nesplňují nejvyšší dostupnou energetickou třídu dle příslušné legislativy pro daný typ spotřebiče;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náklady na výměnu zdroje energie bez toho, že budovat bude po realizaci projektu plnit minimálně parametry energetické náročnosti definované národní legislativou (§ 6 odst. 2 vyhlášky č.264/2020 Sb., o energetické náročnosti budov);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náklady na zařízení využívajících vodu, které nesplňují následující podmínky: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5"/>
        </w:numPr>
        <w:pBdr/>
        <w:spacing/>
        <w:ind/>
        <w:rPr/>
      </w:pPr>
      <w:r>
        <w:rPr>
          <w:rFonts w:eastAsiaTheme="minorEastAsia"/>
        </w:rPr>
        <w:t xml:space="preserve"> sprchy mají maximální průtok vody 8 l/min;</w:t>
      </w:r>
      <w:r/>
    </w:p>
    <w:p>
      <w:pPr>
        <w:pStyle w:val="1004"/>
        <w:numPr>
          <w:ilvl w:val="0"/>
          <w:numId w:val="5"/>
        </w:numPr>
        <w:pBdr/>
        <w:spacing/>
        <w:ind/>
        <w:rPr/>
      </w:pPr>
      <w:r>
        <w:rPr>
          <w:rFonts w:eastAsiaTheme="minorEastAsia"/>
        </w:rPr>
        <w:t xml:space="preserve">WC, zahrnující soupravy, mísy a splachovací nádrže, mají úplný objem splachovací vody maximálně 6 l a maximální průměrný objem splachovací vody 3,5l;</w:t>
      </w:r>
      <w:r/>
    </w:p>
    <w:p>
      <w:pPr>
        <w:pStyle w:val="1004"/>
        <w:numPr>
          <w:ilvl w:val="0"/>
          <w:numId w:val="4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pisoáry spotřebují maximálně 2 l/mísu/hodinu. Splachovací pisoáry mají maximální úplný objem splachovací vody 1 l;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4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umyvadlové baterie a kuchyňské baterie mají maximální průtok 6 l/min.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náklady na pořízení vozidel, které nesplňují následující podmínky: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10"/>
        </w:numPr>
        <w:pBdr/>
        <w:spacing/>
        <w:ind/>
        <w:rPr/>
      </w:pPr>
      <w:r>
        <w:rPr>
          <w:rFonts w:eastAsiaTheme="minorEastAsia"/>
        </w:rPr>
        <w:t xml:space="preserve">podpořený automobil kategorie M1 a N1 musí mít nulové emise CO2/km;</w:t>
      </w:r>
      <w:r/>
    </w:p>
    <w:p>
      <w:pPr>
        <w:pStyle w:val="1004"/>
        <w:numPr>
          <w:ilvl w:val="0"/>
          <w:numId w:val="10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v případě pronájmu (operativní leasing) automobil kategorie M1 a N1 musí mít emise nižší než 50 g CO2/km, od 1. 1. 2026 musí být emise nulové;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10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u vozidel kategorií N2 a N3 spadajících do oblasti působnosti nařízení (EU) 2019/1242 dosahují specifické přímé emise CO2 nejvýše referenčních emisí CO2 pro všechna vozidla v dané podskupině, jak stanoví článek 3 uvedeného nařízení;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10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v případě vozidel pro zvláštní účely, pokud výše uvedená pravidla neplatí, bude podporována nejlepší dostupná technologie v dané kategorii vozidel.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/>
      </w:pPr>
      <w:r>
        <w:rPr>
          <w:rFonts w:eastAsiaTheme="minorEastAsia"/>
        </w:rPr>
        <w:t xml:space="preserve">náklady na zařízení bateriové akumulace pro obnovitelné zdroje energie, které jsou na bázi olova, </w:t>
      </w:r>
      <w:r>
        <w:rPr>
          <w:rFonts w:eastAsiaTheme="minorEastAsia"/>
        </w:rPr>
        <w:t xml:space="preserve">NiCd</w:t>
      </w:r>
      <w:r>
        <w:rPr>
          <w:rFonts w:eastAsiaTheme="minorEastAsia"/>
        </w:rPr>
        <w:t xml:space="preserve"> a </w:t>
      </w:r>
      <w:r>
        <w:rPr>
          <w:rFonts w:eastAsiaTheme="minorEastAsia"/>
        </w:rPr>
        <w:t xml:space="preserve">NiMH</w:t>
      </w:r>
      <w:r>
        <w:rPr>
          <w:rFonts w:eastAsiaTheme="minorEastAsia"/>
        </w:rPr>
        <w:t xml:space="preserve">;</w:t>
      </w:r>
      <w:r/>
    </w:p>
    <w:p>
      <w:pPr>
        <w:pStyle w:val="1004"/>
        <w:numPr>
          <w:ilvl w:val="0"/>
          <w:numId w:val="3"/>
        </w:numPr>
        <w:pBdr/>
        <w:spacing/>
        <w:ind/>
        <w:rPr/>
      </w:pPr>
      <w:r>
        <w:rPr>
          <w:rFonts w:eastAsiaTheme="minorEastAsia"/>
        </w:rPr>
        <w:t xml:space="preserve">náklady na pořízení kotlů na biomasu, které nesplňují následující podmínky:</w:t>
      </w:r>
      <w:r/>
    </w:p>
    <w:p>
      <w:pPr>
        <w:pStyle w:val="1004"/>
        <w:numPr>
          <w:ilvl w:val="0"/>
          <w:numId w:val="14"/>
        </w:numPr>
        <w:pBdr/>
        <w:spacing/>
        <w:ind/>
        <w:rPr/>
      </w:pPr>
      <w:r>
        <w:rPr>
          <w:rFonts w:eastAsiaTheme="minorEastAsia"/>
        </w:rPr>
        <w:t xml:space="preserve">jsou v souladu s kritérii udržitelnosti a úspor emisí skleníkových plynů stanovenými </w:t>
      </w:r>
      <w:r>
        <w:rPr>
          <w:rFonts w:eastAsiaTheme="minorEastAsia"/>
        </w:rPr>
        <w:t xml:space="preserve">v 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II2;</w:t>
      </w:r>
      <w:r/>
    </w:p>
    <w:p>
      <w:pPr>
        <w:pStyle w:val="1004"/>
        <w:numPr>
          <w:ilvl w:val="0"/>
          <w:numId w:val="14"/>
        </w:num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numPr>
          <w:ilvl w:val="0"/>
          <w:numId w:val="3"/>
        </w:numPr>
        <w:pBdr/>
        <w:spacing/>
        <w:ind/>
        <w:rPr/>
      </w:pPr>
      <w:r>
        <w:rPr>
          <w:rFonts w:eastAsiaTheme="minorEastAsia"/>
        </w:rPr>
        <w:t xml:space="preserve">náklady na výsadbu zeleně, které nesplňují následující podmínku:</w:t>
      </w:r>
      <w:r/>
    </w:p>
    <w:p>
      <w:pPr>
        <w:pStyle w:val="1004"/>
        <w:numPr>
          <w:ilvl w:val="0"/>
          <w:numId w:val="16"/>
        </w:numPr>
        <w:pBdr/>
        <w:spacing/>
        <w:ind/>
        <w:rPr/>
      </w:pPr>
      <w:r>
        <w:rPr>
          <w:rFonts w:eastAsiaTheme="minorEastAsia"/>
        </w:rPr>
        <w:t xml:space="preserve">při výsadbě zeleně se použijí pouze stanovištně vhodné dřeviny, které zajistí odolnost vůči klimatu a zároveň nebudou mít negativní dopad z pohledu biologické rozmanitosti.</w:t>
      </w:r>
      <w:r/>
    </w:p>
    <w:p>
      <w:pPr>
        <w:pBdr/>
        <w:spacing/>
        <w:ind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Bdr/>
        <w:spacing/>
        <w:ind/>
        <w:rPr/>
      </w:pPr>
      <w:r>
        <w:t xml:space="preserve">Žadatel dále prohlašuje, že projekt:</w:t>
      </w:r>
      <w:r/>
    </w:p>
    <w:p>
      <w:pPr>
        <w:pStyle w:val="1004"/>
        <w:numPr>
          <w:ilvl w:val="0"/>
          <w:numId w:val="2"/>
        </w:numPr>
        <w:pBdr/>
        <w:spacing/>
        <w:ind/>
        <w:rPr>
          <w:rFonts w:cs="Segoe UI"/>
        </w:rPr>
      </w:pPr>
      <w:r>
        <w:t xml:space="preserve">nevyužívá žádné vodní zdroje </w:t>
      </w:r>
      <w:r>
        <w:rPr>
          <w:i/>
        </w:rPr>
        <w:t xml:space="preserve">nebo,</w:t>
      </w:r>
      <w:r>
        <w:rPr>
          <w:rFonts w:cs="Segoe UI"/>
        </w:rPr>
      </w:r>
      <w:r>
        <w:rPr>
          <w:rFonts w:cs="Segoe UI"/>
        </w:rPr>
      </w:r>
    </w:p>
    <w:p>
      <w:pPr>
        <w:pStyle w:val="1004"/>
        <w:numPr>
          <w:ilvl w:val="0"/>
          <w:numId w:val="2"/>
        </w:numPr>
        <w:pBdr/>
        <w:spacing/>
        <w:ind/>
        <w:rPr>
          <w:rFonts w:cs="Segoe UI"/>
        </w:rPr>
      </w:pPr>
      <w:r>
        <w:t xml:space="preserve">využívá vodu z veřejného vodovodu </w:t>
      </w:r>
      <w:r>
        <w:rPr>
          <w:i/>
        </w:rPr>
        <w:t xml:space="preserve">nebo,</w:t>
      </w:r>
      <w:r>
        <w:rPr>
          <w:rFonts w:cs="Segoe UI"/>
        </w:rPr>
      </w:r>
      <w:r>
        <w:rPr>
          <w:rFonts w:cs="Segoe UI"/>
        </w:rPr>
      </w:r>
    </w:p>
    <w:p>
      <w:pPr>
        <w:pStyle w:val="1004"/>
        <w:numPr>
          <w:ilvl w:val="0"/>
          <w:numId w:val="2"/>
        </w:numPr>
        <w:pBdr/>
        <w:spacing/>
        <w:ind/>
        <w:rPr>
          <w:rFonts w:cs="Segoe UI"/>
        </w:rPr>
      </w:pPr>
      <w:r>
        <w:t xml:space="preserve">předložil samostatné posouzení vodních zdrojů (příloha č. 6 výzvy).</w:t>
      </w:r>
      <w:r>
        <w:rPr>
          <w:rFonts w:cs="Segoe UI"/>
        </w:rPr>
      </w:r>
      <w:r>
        <w:rPr>
          <w:rFonts w:cs="Segoe UI"/>
        </w:rPr>
      </w:r>
    </w:p>
    <w:p>
      <w:pPr>
        <w:pStyle w:val="1009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09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Žadatel dále prohlašuje, že projekt </w:t>
      </w:r>
      <w:r>
        <w:rPr>
          <w:sz w:val="20"/>
          <w:szCs w:val="20"/>
        </w:rPr>
        <w:t xml:space="preserve">rekonstrukce a výstavby nové budovy </w:t>
      </w:r>
      <w:r>
        <w:rPr>
          <w:sz w:val="20"/>
          <w:szCs w:val="20"/>
        </w:rPr>
        <w:t xml:space="preserve">realizovaný v rámci </w:t>
      </w:r>
      <w:r>
        <w:rPr>
          <w:sz w:val="20"/>
          <w:szCs w:val="20"/>
        </w:rPr>
        <w:t xml:space="preserve">podaktivit</w:t>
      </w:r>
      <w:r>
        <w:rPr>
          <w:sz w:val="20"/>
          <w:szCs w:val="20"/>
        </w:rPr>
        <w:t xml:space="preserve"> 1.1, 1.3, 2.2, 2.3 a 3.1 není realizován v záplavovém území Q100, nebo jsou v lokalitě realizována opatření zajišťující adekvátní protipovodňovou ochranu.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rFonts w:cs="Segoe UI"/>
        </w:rPr>
      </w:pPr>
      <w:r>
        <w:rPr>
          <w:rFonts w:cs="Segoe UI"/>
        </w:rPr>
      </w:r>
      <w:r>
        <w:rPr>
          <w:rFonts w:cs="Segoe UI"/>
        </w:rPr>
      </w:r>
      <w:r>
        <w:rPr>
          <w:rFonts w:cs="Segoe UI"/>
        </w:rPr>
      </w:r>
    </w:p>
    <w:tbl>
      <w:tblPr>
        <w:tblW w:w="9214" w:type="dxa"/>
        <w:tblInd w:w="70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Datum a místo podpisu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257"/>
        </w:trPr>
        <w:tc>
          <w:tcPr>
            <w:gridSpan w:val="5"/>
            <w:tcBorders>
              <w:top w:val="single" w:color="auto" w:sz="4" w:space="0"/>
            </w:tcBorders>
            <w:tcW w:w="92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1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Jméno a podpis osoby oprávněné zastupovat žadatele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Razítko</w:t>
            </w:r>
            <w:r>
              <w:rPr>
                <w:rFonts w:cs="Segoe UI"/>
              </w:rPr>
              <w:t xml:space="preserve"> 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(pokud je součástí podpisu žadatele)</w:t>
            </w:r>
            <w:r>
              <w:rPr>
                <w:rFonts w:cs="Segoe UI"/>
                <w:b/>
                <w:bCs/>
                <w:i/>
                <w:iCs/>
              </w:rPr>
            </w:r>
            <w:r>
              <w:rPr>
                <w:rFonts w:cs="Segoe UI"/>
                <w:b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 xml:space="preserve"> 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Bdr/>
        <w:spacing/>
        <w:ind/>
        <w:rPr>
          <w:rFonts w:cs="Segoe UI"/>
        </w:rPr>
      </w:pPr>
      <w:r>
        <w:rPr>
          <w:rFonts w:cs="Segoe UI"/>
        </w:rPr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701" w:left="1418" w:header="567" w:footer="46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Segoe UI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pBdr/>
      <w:spacing/>
      <w:ind/>
      <w:rPr>
        <w:szCs w:val="16"/>
      </w:rPr>
    </w:pPr>
    <w:r>
      <w:rPr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1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00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00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000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1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1000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1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00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100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000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1000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00"/>
                        <w:sz w:val="16"/>
                      </w:rPr>
                      <w:fldChar w:fldCharType="begin"/>
                    </w:r>
                    <w:r>
                      <w:rPr>
                        <w:rStyle w:val="1000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00"/>
                        <w:sz w:val="16"/>
                      </w:rPr>
                      <w:fldChar w:fldCharType="separate"/>
                    </w:r>
                    <w:r>
                      <w:rPr>
                        <w:rStyle w:val="1000"/>
                        <w:sz w:val="16"/>
                      </w:rPr>
                      <w:t xml:space="preserve">1</w:t>
                    </w:r>
                    <w:r>
                      <w:rPr>
                        <w:rStyle w:val="1000"/>
                        <w:sz w:val="16"/>
                      </w:rPr>
                      <w:fldChar w:fldCharType="end"/>
                    </w:r>
                    <w:r>
                      <w:rPr>
                        <w:rStyle w:val="1000"/>
                        <w:sz w:val="16"/>
                      </w:rPr>
                      <w:t xml:space="preserve">/</w:t>
                    </w:r>
                    <w:r>
                      <w:rPr>
                        <w:rStyle w:val="1000"/>
                        <w:sz w:val="16"/>
                      </w:rPr>
                      <w:fldChar w:fldCharType="begin"/>
                    </w:r>
                    <w:r>
                      <w:rPr>
                        <w:rStyle w:val="1000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00"/>
                        <w:sz w:val="16"/>
                      </w:rPr>
                      <w:fldChar w:fldCharType="separate"/>
                    </w:r>
                    <w:r>
                      <w:rPr>
                        <w:rStyle w:val="1000"/>
                        <w:sz w:val="16"/>
                      </w:rPr>
                      <w:t xml:space="preserve">4</w:t>
                    </w:r>
                    <w:r>
                      <w:rPr>
                        <w:rStyle w:val="1000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Cs w:val="16"/>
      </w:rPr>
    </w:r>
    <w:r>
      <w:rPr>
        <w:szCs w:val="16"/>
      </w:rPr>
    </w:r>
  </w:p>
  <w:p>
    <w:pPr>
      <w:pStyle w:val="998"/>
      <w:pBdr/>
      <w:spacing w:after="0" w:before="240"/>
      <w:ind/>
      <w:rPr>
        <w:szCs w:val="16"/>
      </w:rPr>
    </w:pPr>
    <w:r>
      <w:rPr>
        <w:b/>
        <w:szCs w:val="16"/>
      </w:rPr>
      <w:t xml:space="preserve">Státní fond životního prostředí ČR</w:t>
    </w:r>
    <w:r>
      <w:rPr>
        <w:szCs w:val="16"/>
      </w:rPr>
      <w:t xml:space="preserve">, sídlo: Kaplanova 1931/1, 148 00 Praha 11</w:t>
    </w:r>
    <w:r>
      <w:rPr>
        <w:szCs w:val="16"/>
      </w:rPr>
    </w:r>
    <w:r>
      <w:rPr>
        <w:szCs w:val="16"/>
      </w:rPr>
    </w:r>
  </w:p>
  <w:p>
    <w:pPr>
      <w:pStyle w:val="998"/>
      <w:pBdr/>
      <w:spacing w:after="0"/>
      <w:ind/>
      <w:rPr>
        <w:szCs w:val="16"/>
      </w:rPr>
    </w:pPr>
    <w:r>
      <w:rPr>
        <w:szCs w:val="16"/>
      </w:rPr>
      <w:t xml:space="preserve">korespondenční a kontaktní adresa: Olbrachtova 2006/9, 140 </w:t>
    </w:r>
    <w:r>
      <w:rPr>
        <w:szCs w:val="16"/>
      </w:rPr>
      <w:t xml:space="preserve">00  Praha</w:t>
    </w:r>
    <w:r>
      <w:rPr>
        <w:szCs w:val="16"/>
      </w:rPr>
      <w:t xml:space="preserve"> 4, T: +420 267 994 300; IČ: 00020729</w:t>
    </w:r>
    <w:r>
      <w:rPr>
        <w:szCs w:val="16"/>
      </w:rPr>
    </w:r>
    <w:r>
      <w:rPr>
        <w:szCs w:val="16"/>
      </w:rPr>
    </w:r>
  </w:p>
  <w:p>
    <w:pPr>
      <w:pStyle w:val="998"/>
      <w:pBdr/>
      <w:spacing/>
      <w:ind/>
      <w:rPr>
        <w:szCs w:val="16"/>
      </w:rPr>
    </w:pPr>
    <w:r>
      <w:rPr>
        <w:b/>
        <w:szCs w:val="16"/>
      </w:rPr>
      <w:t xml:space="preserve">www.opst.cz, e-mail: spravedliva.transformace@sfzp.cz</w:t>
    </w:r>
    <w:r>
      <w:rPr>
        <w:szCs w:val="16"/>
      </w:rPr>
    </w:r>
    <w:r>
      <w:rPr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pBdr/>
      <w:spacing/>
      <w:ind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  <w:r>
      <w:rPr>
        <w:color w:val="3e1f65"/>
        <w:sz w:val="28"/>
        <w:szCs w:val="28"/>
      </w:rPr>
    </w:r>
    <w:r>
      <w:rPr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•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lowerLetter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12"/>
  </w:num>
  <w:num w:numId="8">
    <w:abstractNumId w:val="18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16"/>
  </w:num>
  <w:num w:numId="14">
    <w:abstractNumId w:val="3"/>
  </w:num>
  <w:num w:numId="15">
    <w:abstractNumId w:val="11"/>
  </w:num>
  <w:num w:numId="16">
    <w:abstractNumId w:val="14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4" w:default="1">
    <w:name w:val="Normal"/>
    <w:qFormat/>
    <w:pPr>
      <w:pBdr/>
      <w:spacing w:after="120" w:line="264" w:lineRule="auto"/>
      <w:ind/>
      <w:jc w:val="both"/>
    </w:pPr>
    <w:rPr>
      <w:rFonts w:ascii="Segoe UI" w:hAnsi="Segoe UI" w:eastAsia="Times New Roman" w:cs="Times New Roman"/>
      <w:sz w:val="20"/>
      <w:szCs w:val="20"/>
      <w:lang w:eastAsia="cs-CZ"/>
    </w:rPr>
  </w:style>
  <w:style w:type="paragraph" w:styleId="805">
    <w:name w:val="Heading 1"/>
    <w:basedOn w:val="804"/>
    <w:next w:val="804"/>
    <w:link w:val="83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06">
    <w:name w:val="Heading 2"/>
    <w:basedOn w:val="804"/>
    <w:next w:val="804"/>
    <w:link w:val="8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04"/>
    <w:next w:val="804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04"/>
    <w:next w:val="804"/>
    <w:link w:val="8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04"/>
    <w:next w:val="804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04"/>
    <w:next w:val="804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1">
    <w:name w:val="Heading 7"/>
    <w:basedOn w:val="804"/>
    <w:next w:val="804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04"/>
    <w:next w:val="804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04"/>
    <w:next w:val="804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 w:default="1">
    <w:name w:val="Default Paragraph Font"/>
    <w:uiPriority w:val="1"/>
    <w:semiHidden/>
    <w:unhideWhenUsed/>
    <w:pPr>
      <w:pBdr/>
      <w:spacing/>
      <w:ind/>
    </w:pPr>
  </w:style>
  <w:style w:type="table" w:styleId="8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6" w:default="1">
    <w:name w:val="No List"/>
    <w:uiPriority w:val="99"/>
    <w:semiHidden/>
    <w:unhideWhenUsed/>
    <w:pPr>
      <w:pBdr/>
      <w:spacing/>
      <w:ind/>
    </w:pPr>
  </w:style>
  <w:style w:type="character" w:styleId="817" w:customStyle="1">
    <w:name w:val="Heading 1 Char"/>
    <w:basedOn w:val="81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8" w:customStyle="1">
    <w:name w:val="Heading 2 Char"/>
    <w:basedOn w:val="81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9" w:customStyle="1">
    <w:name w:val="Heading 3 Char"/>
    <w:basedOn w:val="81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0" w:customStyle="1">
    <w:name w:val="Heading 4 Char"/>
    <w:basedOn w:val="81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Heading 5 Char"/>
    <w:basedOn w:val="81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Heading 6 Char"/>
    <w:basedOn w:val="81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Heading 7 Char"/>
    <w:basedOn w:val="81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Heading 8 Char"/>
    <w:basedOn w:val="81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Heading 9 Char"/>
    <w:basedOn w:val="81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26" w:customStyle="1">
    <w:name w:val="Title Char"/>
    <w:basedOn w:val="814"/>
    <w:uiPriority w:val="10"/>
    <w:pPr>
      <w:pBdr/>
      <w:spacing/>
      <w:ind/>
    </w:pPr>
    <w:rPr>
      <w:sz w:val="48"/>
      <w:szCs w:val="48"/>
    </w:rPr>
  </w:style>
  <w:style w:type="character" w:styleId="827" w:customStyle="1">
    <w:name w:val="Subtitle Char"/>
    <w:basedOn w:val="814"/>
    <w:uiPriority w:val="11"/>
    <w:pPr>
      <w:pBdr/>
      <w:spacing/>
      <w:ind/>
    </w:pPr>
    <w:rPr>
      <w:sz w:val="24"/>
      <w:szCs w:val="24"/>
    </w:rPr>
  </w:style>
  <w:style w:type="character" w:styleId="828" w:customStyle="1">
    <w:name w:val="Quote Char"/>
    <w:uiPriority w:val="29"/>
    <w:pPr>
      <w:pBdr/>
      <w:spacing/>
      <w:ind/>
    </w:pPr>
    <w:rPr>
      <w:i/>
    </w:rPr>
  </w:style>
  <w:style w:type="character" w:styleId="829" w:customStyle="1">
    <w:name w:val="Intense Quote Char"/>
    <w:uiPriority w:val="30"/>
    <w:pPr>
      <w:pBdr/>
      <w:spacing/>
      <w:ind/>
    </w:pPr>
    <w:rPr>
      <w:i/>
    </w:rPr>
  </w:style>
  <w:style w:type="character" w:styleId="830" w:customStyle="1">
    <w:name w:val="Endnote Text Char"/>
    <w:uiPriority w:val="99"/>
    <w:pPr>
      <w:pBdr/>
      <w:spacing/>
      <w:ind/>
    </w:pPr>
    <w:rPr>
      <w:sz w:val="20"/>
    </w:rPr>
  </w:style>
  <w:style w:type="character" w:styleId="831" w:customStyle="1">
    <w:name w:val="Nadpis 1 Char"/>
    <w:basedOn w:val="814"/>
    <w:link w:val="8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32" w:customStyle="1">
    <w:name w:val="Nadpis 2 Char"/>
    <w:basedOn w:val="814"/>
    <w:link w:val="8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33" w:customStyle="1">
    <w:name w:val="Nadpis 3 Char"/>
    <w:basedOn w:val="814"/>
    <w:link w:val="80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34" w:customStyle="1">
    <w:name w:val="Nadpis 4 Char"/>
    <w:basedOn w:val="814"/>
    <w:link w:val="80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35" w:customStyle="1">
    <w:name w:val="Nadpis 5 Char"/>
    <w:basedOn w:val="814"/>
    <w:link w:val="80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36" w:customStyle="1">
    <w:name w:val="Nadpis 6 Char"/>
    <w:basedOn w:val="814"/>
    <w:link w:val="8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37" w:customStyle="1">
    <w:name w:val="Nadpis 7 Char"/>
    <w:basedOn w:val="814"/>
    <w:link w:val="81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8" w:customStyle="1">
    <w:name w:val="Nadpis 8 Char"/>
    <w:basedOn w:val="814"/>
    <w:link w:val="81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39" w:customStyle="1">
    <w:name w:val="Nadpis 9 Char"/>
    <w:basedOn w:val="814"/>
    <w:link w:val="8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0">
    <w:name w:val="No Spacing"/>
    <w:uiPriority w:val="1"/>
    <w:qFormat/>
    <w:pPr>
      <w:pBdr/>
      <w:spacing w:after="0" w:line="240" w:lineRule="auto"/>
      <w:ind/>
    </w:pPr>
  </w:style>
  <w:style w:type="paragraph" w:styleId="841">
    <w:name w:val="Title"/>
    <w:basedOn w:val="804"/>
    <w:next w:val="804"/>
    <w:link w:val="8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2" w:customStyle="1">
    <w:name w:val="Název Char"/>
    <w:basedOn w:val="814"/>
    <w:link w:val="841"/>
    <w:uiPriority w:val="10"/>
    <w:pPr>
      <w:pBdr/>
      <w:spacing/>
      <w:ind/>
    </w:pPr>
    <w:rPr>
      <w:sz w:val="48"/>
      <w:szCs w:val="48"/>
    </w:rPr>
  </w:style>
  <w:style w:type="paragraph" w:styleId="843">
    <w:name w:val="Subtitle"/>
    <w:basedOn w:val="804"/>
    <w:next w:val="804"/>
    <w:link w:val="8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4" w:customStyle="1">
    <w:name w:val="Podnadpis Char"/>
    <w:basedOn w:val="814"/>
    <w:link w:val="843"/>
    <w:uiPriority w:val="11"/>
    <w:pPr>
      <w:pBdr/>
      <w:spacing/>
      <w:ind/>
    </w:pPr>
    <w:rPr>
      <w:sz w:val="24"/>
      <w:szCs w:val="24"/>
    </w:rPr>
  </w:style>
  <w:style w:type="paragraph" w:styleId="845">
    <w:name w:val="Quote"/>
    <w:basedOn w:val="804"/>
    <w:next w:val="804"/>
    <w:link w:val="846"/>
    <w:uiPriority w:val="29"/>
    <w:qFormat/>
    <w:pPr>
      <w:pBdr/>
      <w:spacing/>
      <w:ind w:right="720" w:left="720"/>
    </w:pPr>
    <w:rPr>
      <w:i/>
    </w:rPr>
  </w:style>
  <w:style w:type="character" w:styleId="846" w:customStyle="1">
    <w:name w:val="Citát Char"/>
    <w:link w:val="845"/>
    <w:uiPriority w:val="29"/>
    <w:pPr>
      <w:pBdr/>
      <w:spacing/>
      <w:ind/>
    </w:pPr>
    <w:rPr>
      <w:i/>
    </w:rPr>
  </w:style>
  <w:style w:type="paragraph" w:styleId="847">
    <w:name w:val="Intense Quote"/>
    <w:basedOn w:val="804"/>
    <w:next w:val="804"/>
    <w:link w:val="8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48" w:customStyle="1">
    <w:name w:val="Výrazný citát Char"/>
    <w:link w:val="847"/>
    <w:uiPriority w:val="30"/>
    <w:pPr>
      <w:pBdr/>
      <w:spacing/>
      <w:ind/>
    </w:pPr>
    <w:rPr>
      <w:i/>
    </w:rPr>
  </w:style>
  <w:style w:type="character" w:styleId="849" w:customStyle="1">
    <w:name w:val="Header Char"/>
    <w:basedOn w:val="814"/>
    <w:uiPriority w:val="99"/>
    <w:pPr>
      <w:pBdr/>
      <w:spacing/>
      <w:ind/>
    </w:pPr>
  </w:style>
  <w:style w:type="character" w:styleId="850" w:customStyle="1">
    <w:name w:val="Footer Char"/>
    <w:basedOn w:val="814"/>
    <w:uiPriority w:val="99"/>
    <w:pPr>
      <w:pBdr/>
      <w:spacing/>
      <w:ind/>
    </w:pPr>
  </w:style>
  <w:style w:type="paragraph" w:styleId="851">
    <w:name w:val="Caption"/>
    <w:basedOn w:val="804"/>
    <w:next w:val="804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852" w:customStyle="1">
    <w:name w:val="Caption Char"/>
    <w:uiPriority w:val="99"/>
    <w:pPr>
      <w:pBdr/>
      <w:spacing/>
      <w:ind/>
    </w:pPr>
  </w:style>
  <w:style w:type="table" w:styleId="853">
    <w:name w:val="Table Grid"/>
    <w:basedOn w:val="81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Table Grid Light"/>
    <w:basedOn w:val="81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1"/>
    <w:basedOn w:val="81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2"/>
    <w:basedOn w:val="81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1 Light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1 Light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1 Light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1 Light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1 Light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1 Light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2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2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2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2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2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2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3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3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3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3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3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3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4 - Accent 1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4 - Accent 2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4 - Accent 3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4 - Accent 4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4 - Accent 5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4 - Accent 6"/>
    <w:basedOn w:val="81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5 Dark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5 Dark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5 Dark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5 Dark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5 Dark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5 Dark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6 Colorful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6 Colorful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6 Colorful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6 Colorful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6 Colorful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6 Colorful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7 Colorful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7 Colorful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7 Colorful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7 Colorful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7 Colorful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7 Colorful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1 Light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1 Light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1 Light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1 Light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1 Light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1 Light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2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2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2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2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2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2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3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3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3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3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3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3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4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4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4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4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4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4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5 Dark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5 Dark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5 Dark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5 Dark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5 Dark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5 Dark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6 Colorful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6 Colorful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6 Colorful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6 Colorful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6 Colorful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6 Colorful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7 Colorful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7 Colorful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7 Colorful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7 Colorful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7 Colorful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7 Colorful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ned - Accent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ned - Accent 1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ned - Accent 2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ned - Accent 3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ned - Accent 4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ned - Accent 5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ned - Accent 6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&amp; Lined - Accent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&amp; Lined - Accent 1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&amp; Lined - Accent 2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&amp; Lined - Accent 3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&amp; Lined - Accent 4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 &amp; Lined - Accent 5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 &amp; Lined - Accent 6"/>
    <w:basedOn w:val="815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- Accent 1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- Accent 2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- Accent 3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- Accent 4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- Accent 5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Bordered - Accent 6"/>
    <w:basedOn w:val="81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9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80" w:customStyle="1">
    <w:name w:val="Footnote Text Char"/>
    <w:uiPriority w:val="99"/>
    <w:pPr>
      <w:pBdr/>
      <w:spacing/>
      <w:ind/>
    </w:pPr>
    <w:rPr>
      <w:sz w:val="18"/>
    </w:rPr>
  </w:style>
  <w:style w:type="paragraph" w:styleId="981">
    <w:name w:val="endnote text"/>
    <w:basedOn w:val="804"/>
    <w:link w:val="982"/>
    <w:uiPriority w:val="99"/>
    <w:semiHidden/>
    <w:unhideWhenUsed/>
    <w:pPr>
      <w:pBdr/>
      <w:spacing w:after="0" w:line="240" w:lineRule="auto"/>
      <w:ind/>
    </w:pPr>
  </w:style>
  <w:style w:type="character" w:styleId="982" w:customStyle="1">
    <w:name w:val="Text vysvětlivek Char"/>
    <w:link w:val="981"/>
    <w:uiPriority w:val="99"/>
    <w:pPr>
      <w:pBdr/>
      <w:spacing/>
      <w:ind/>
    </w:pPr>
    <w:rPr>
      <w:sz w:val="20"/>
    </w:rPr>
  </w:style>
  <w:style w:type="character" w:styleId="983">
    <w:name w:val="endnote reference"/>
    <w:basedOn w:val="814"/>
    <w:uiPriority w:val="99"/>
    <w:semiHidden/>
    <w:unhideWhenUsed/>
    <w:pPr>
      <w:pBdr/>
      <w:spacing/>
      <w:ind/>
    </w:pPr>
    <w:rPr>
      <w:vertAlign w:val="superscript"/>
    </w:rPr>
  </w:style>
  <w:style w:type="paragraph" w:styleId="984">
    <w:name w:val="toc 1"/>
    <w:basedOn w:val="804"/>
    <w:next w:val="804"/>
    <w:uiPriority w:val="39"/>
    <w:unhideWhenUsed/>
    <w:pPr>
      <w:pBdr/>
      <w:spacing w:after="57"/>
      <w:ind/>
    </w:pPr>
  </w:style>
  <w:style w:type="paragraph" w:styleId="985">
    <w:name w:val="toc 2"/>
    <w:basedOn w:val="804"/>
    <w:next w:val="804"/>
    <w:uiPriority w:val="39"/>
    <w:unhideWhenUsed/>
    <w:pPr>
      <w:pBdr/>
      <w:spacing w:after="57"/>
      <w:ind w:left="283"/>
    </w:pPr>
  </w:style>
  <w:style w:type="paragraph" w:styleId="986">
    <w:name w:val="toc 3"/>
    <w:basedOn w:val="804"/>
    <w:next w:val="804"/>
    <w:uiPriority w:val="39"/>
    <w:unhideWhenUsed/>
    <w:pPr>
      <w:pBdr/>
      <w:spacing w:after="57"/>
      <w:ind w:left="567"/>
    </w:pPr>
  </w:style>
  <w:style w:type="paragraph" w:styleId="987">
    <w:name w:val="toc 4"/>
    <w:basedOn w:val="804"/>
    <w:next w:val="804"/>
    <w:uiPriority w:val="39"/>
    <w:unhideWhenUsed/>
    <w:pPr>
      <w:pBdr/>
      <w:spacing w:after="57"/>
      <w:ind w:left="850"/>
    </w:pPr>
  </w:style>
  <w:style w:type="paragraph" w:styleId="988">
    <w:name w:val="toc 5"/>
    <w:basedOn w:val="804"/>
    <w:next w:val="804"/>
    <w:uiPriority w:val="39"/>
    <w:unhideWhenUsed/>
    <w:pPr>
      <w:pBdr/>
      <w:spacing w:after="57"/>
      <w:ind w:left="1134"/>
    </w:pPr>
  </w:style>
  <w:style w:type="paragraph" w:styleId="989">
    <w:name w:val="toc 6"/>
    <w:basedOn w:val="804"/>
    <w:next w:val="804"/>
    <w:uiPriority w:val="39"/>
    <w:unhideWhenUsed/>
    <w:pPr>
      <w:pBdr/>
      <w:spacing w:after="57"/>
      <w:ind w:left="1417"/>
    </w:pPr>
  </w:style>
  <w:style w:type="paragraph" w:styleId="990">
    <w:name w:val="toc 7"/>
    <w:basedOn w:val="804"/>
    <w:next w:val="804"/>
    <w:uiPriority w:val="39"/>
    <w:unhideWhenUsed/>
    <w:pPr>
      <w:pBdr/>
      <w:spacing w:after="57"/>
      <w:ind w:left="1701"/>
    </w:pPr>
  </w:style>
  <w:style w:type="paragraph" w:styleId="991">
    <w:name w:val="toc 8"/>
    <w:basedOn w:val="804"/>
    <w:next w:val="804"/>
    <w:uiPriority w:val="39"/>
    <w:unhideWhenUsed/>
    <w:pPr>
      <w:pBdr/>
      <w:spacing w:after="57"/>
      <w:ind w:left="1984"/>
    </w:pPr>
  </w:style>
  <w:style w:type="paragraph" w:styleId="992">
    <w:name w:val="toc 9"/>
    <w:basedOn w:val="804"/>
    <w:next w:val="804"/>
    <w:uiPriority w:val="39"/>
    <w:unhideWhenUsed/>
    <w:pPr>
      <w:pBdr/>
      <w:spacing w:after="57"/>
      <w:ind w:left="2268"/>
    </w:pPr>
  </w:style>
  <w:style w:type="paragraph" w:styleId="993">
    <w:name w:val="TOC Heading"/>
    <w:uiPriority w:val="39"/>
    <w:unhideWhenUsed/>
    <w:pPr>
      <w:pBdr/>
      <w:spacing/>
      <w:ind/>
    </w:pPr>
  </w:style>
  <w:style w:type="paragraph" w:styleId="994">
    <w:name w:val="table of figures"/>
    <w:basedOn w:val="804"/>
    <w:next w:val="804"/>
    <w:uiPriority w:val="99"/>
    <w:unhideWhenUsed/>
    <w:pPr>
      <w:pBdr/>
      <w:spacing w:after="0"/>
      <w:ind/>
    </w:pPr>
  </w:style>
  <w:style w:type="character" w:styleId="995" w:customStyle="1">
    <w:name w:val="Záhlaví Char"/>
    <w:basedOn w:val="814"/>
    <w:link w:val="996"/>
    <w:uiPriority w:val="99"/>
    <w:pPr>
      <w:pBdr/>
      <w:spacing/>
      <w:ind/>
    </w:pPr>
  </w:style>
  <w:style w:type="paragraph" w:styleId="996">
    <w:name w:val="Header"/>
    <w:basedOn w:val="804"/>
    <w:link w:val="995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97" w:customStyle="1">
    <w:name w:val="Záhlaví Char1"/>
    <w:basedOn w:val="814"/>
    <w:uiPriority w:val="99"/>
    <w:semiHidden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paragraph" w:styleId="998">
    <w:name w:val="Footer"/>
    <w:basedOn w:val="804"/>
    <w:link w:val="999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character" w:styleId="999" w:customStyle="1">
    <w:name w:val="Zápatí Char"/>
    <w:basedOn w:val="814"/>
    <w:link w:val="998"/>
    <w:uiPriority w:val="99"/>
    <w:pPr>
      <w:pBdr/>
      <w:spacing/>
      <w:ind/>
    </w:pPr>
    <w:rPr>
      <w:rFonts w:ascii="Segoe UI" w:hAnsi="Segoe UI" w:eastAsia="Times New Roman" w:cs="Times New Roman"/>
      <w:sz w:val="16"/>
      <w:szCs w:val="20"/>
      <w:lang w:eastAsia="cs-CZ"/>
    </w:rPr>
  </w:style>
  <w:style w:type="character" w:styleId="1000">
    <w:name w:val="page number"/>
    <w:basedOn w:val="814"/>
    <w:pPr>
      <w:pBdr/>
      <w:spacing/>
      <w:ind/>
    </w:pPr>
  </w:style>
  <w:style w:type="paragraph" w:styleId="1001">
    <w:name w:val="footnote text"/>
    <w:basedOn w:val="804"/>
    <w:link w:val="1002"/>
    <w:semiHidden/>
    <w:pPr>
      <w:pBdr/>
      <w:spacing w:line="240" w:lineRule="auto"/>
      <w:ind/>
      <w:jc w:val="left"/>
    </w:pPr>
    <w:rPr>
      <w:sz w:val="16"/>
    </w:rPr>
  </w:style>
  <w:style w:type="character" w:styleId="1002" w:customStyle="1">
    <w:name w:val="Text pozn. pod čarou Char"/>
    <w:basedOn w:val="814"/>
    <w:link w:val="1001"/>
    <w:semiHidden/>
    <w:pPr>
      <w:pBdr/>
      <w:spacing/>
      <w:ind/>
    </w:pPr>
    <w:rPr>
      <w:rFonts w:ascii="Segoe UI" w:hAnsi="Segoe UI" w:eastAsia="Times New Roman" w:cs="Times New Roman"/>
      <w:sz w:val="16"/>
      <w:szCs w:val="20"/>
      <w:lang w:eastAsia="cs-CZ"/>
    </w:rPr>
  </w:style>
  <w:style w:type="character" w:styleId="1003">
    <w:name w:val="footnote reference"/>
    <w:semiHidden/>
    <w:pPr>
      <w:pBdr/>
      <w:spacing/>
      <w:ind/>
    </w:pPr>
    <w:rPr>
      <w:vertAlign w:val="superscript"/>
    </w:rPr>
  </w:style>
  <w:style w:type="paragraph" w:styleId="1004">
    <w:name w:val="List Paragraph"/>
    <w:basedOn w:val="804"/>
    <w:link w:val="1007"/>
    <w:uiPriority w:val="34"/>
    <w:qFormat/>
    <w:pPr>
      <w:pBdr/>
      <w:spacing/>
      <w:ind w:left="708"/>
    </w:pPr>
  </w:style>
  <w:style w:type="paragraph" w:styleId="1005" w:customStyle="1">
    <w:name w:val="Mezititulek"/>
    <w:basedOn w:val="804"/>
    <w:link w:val="1006"/>
    <w:qFormat/>
    <w:pPr>
      <w:keepNext w:val="true"/>
      <w:pBdr/>
      <w:spacing w:before="240"/>
      <w:ind/>
    </w:pPr>
    <w:rPr>
      <w:rFonts w:eastAsia="Calibri" w:cs="Segoe UI"/>
      <w:b/>
      <w:lang w:eastAsia="en-US"/>
    </w:rPr>
  </w:style>
  <w:style w:type="character" w:styleId="1006" w:customStyle="1">
    <w:name w:val="Mezititulek Char"/>
    <w:link w:val="1005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character" w:styleId="1007" w:customStyle="1">
    <w:name w:val="Odstavec se seznamem Char"/>
    <w:link w:val="1004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1008" w:customStyle="1">
    <w:name w:val="docdata"/>
    <w:basedOn w:val="814"/>
    <w:pPr>
      <w:pBdr/>
      <w:spacing/>
      <w:ind/>
    </w:pPr>
  </w:style>
  <w:style w:type="paragraph" w:styleId="1009" w:customStyle="1">
    <w:name w:val="Default"/>
    <w:pPr>
      <w:pBdr/>
      <w:spacing w:after="0" w:line="240" w:lineRule="auto"/>
      <w:ind/>
    </w:pPr>
    <w:rPr>
      <w:rFonts w:ascii="Segoe UI" w:hAnsi="Segoe UI" w:cs="Segoe UI"/>
      <w:color w:val="000000"/>
      <w:sz w:val="24"/>
      <w:szCs w:val="24"/>
    </w:rPr>
  </w:style>
  <w:style w:type="paragraph" w:styleId="1010">
    <w:name w:val="Revision"/>
    <w:hidden/>
    <w:uiPriority w:val="99"/>
    <w:semiHidden/>
    <w:pPr>
      <w:pBdr/>
      <w:spacing w:after="0" w:line="240" w:lineRule="auto"/>
      <w:ind/>
    </w:pPr>
    <w:rPr>
      <w:rFonts w:ascii="Segoe UI" w:hAnsi="Segoe UI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Komm Tomáš, Mgr. Bc.</cp:lastModifiedBy>
  <cp:revision>4</cp:revision>
  <dcterms:created xsi:type="dcterms:W3CDTF">2025-03-10T12:32:00Z</dcterms:created>
  <dcterms:modified xsi:type="dcterms:W3CDTF">2025-05-10T21:07:59Z</dcterms:modified>
</cp:coreProperties>
</file>